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E0D88" w14:textId="77777777" w:rsidR="004D013D" w:rsidRPr="00712C14" w:rsidRDefault="004D013D" w:rsidP="004D013D">
      <w:pPr>
        <w:pStyle w:val="Heading2"/>
      </w:pPr>
      <w:bookmarkStart w:id="0" w:name="_Hlk186806300"/>
      <w:bookmarkEnd w:id="0"/>
      <w:r w:rsidRPr="00712C14">
        <w:t>WA First 1</w:t>
      </w:r>
      <w:r>
        <w:t>,</w:t>
      </w:r>
      <w:r w:rsidRPr="00712C14">
        <w:t>000 Days Framework – November Update</w:t>
      </w:r>
    </w:p>
    <w:p w14:paraId="0B5A0C73" w14:textId="77777777" w:rsidR="004D013D" w:rsidRDefault="004D013D" w:rsidP="004D013D">
      <w:pPr>
        <w:pStyle w:val="Heading3"/>
      </w:pPr>
      <w:r>
        <w:t>The Framework</w:t>
      </w:r>
    </w:p>
    <w:p w14:paraId="189C5CF0" w14:textId="77777777" w:rsidR="004D013D" w:rsidRDefault="004D013D" w:rsidP="004D013D">
      <w:pPr>
        <w:rPr>
          <w:bCs/>
        </w:rPr>
      </w:pPr>
      <w:r>
        <w:rPr>
          <w:bCs/>
        </w:rPr>
        <w:t>The project team has been busy in the next phases of the project and framework development. This has included a review of relevant strategic documents, including but not limited to:</w:t>
      </w:r>
    </w:p>
    <w:p w14:paraId="37F6B48A" w14:textId="77777777" w:rsidR="004D013D" w:rsidRDefault="004D013D" w:rsidP="004D013D">
      <w:pPr>
        <w:rPr>
          <w:bCs/>
        </w:rPr>
      </w:pPr>
    </w:p>
    <w:p w14:paraId="41A62FC4" w14:textId="77777777" w:rsidR="004D013D" w:rsidRDefault="004D013D" w:rsidP="004D013D">
      <w:pPr>
        <w:pStyle w:val="ListParagraph"/>
        <w:numPr>
          <w:ilvl w:val="0"/>
          <w:numId w:val="11"/>
        </w:numPr>
        <w:spacing w:after="160" w:line="259" w:lineRule="auto"/>
      </w:pPr>
      <w:r>
        <w:t>The National Early Years Strategy – The First 1000 Days Framework will align and provide a WA-specific Framework.</w:t>
      </w:r>
    </w:p>
    <w:p w14:paraId="1F833E1C" w14:textId="77777777" w:rsidR="004D013D" w:rsidRDefault="004D013D" w:rsidP="004D013D">
      <w:pPr>
        <w:pStyle w:val="ListParagraph"/>
        <w:numPr>
          <w:ilvl w:val="0"/>
          <w:numId w:val="11"/>
        </w:numPr>
        <w:spacing w:after="160" w:line="259" w:lineRule="auto"/>
      </w:pPr>
      <w:r>
        <w:t xml:space="preserve">National Agreement on Closing the Gap </w:t>
      </w:r>
    </w:p>
    <w:p w14:paraId="08F26BBA" w14:textId="77777777" w:rsidR="004D013D" w:rsidRDefault="004D013D" w:rsidP="004D013D">
      <w:pPr>
        <w:pStyle w:val="ListParagraph"/>
        <w:numPr>
          <w:ilvl w:val="0"/>
          <w:numId w:val="11"/>
        </w:numPr>
        <w:spacing w:after="160" w:line="259" w:lineRule="auto"/>
      </w:pPr>
      <w:r>
        <w:t>The ARACY Nest – an evidence-based framework for child and youth wellbeing</w:t>
      </w:r>
    </w:p>
    <w:p w14:paraId="571B70D9" w14:textId="77777777" w:rsidR="004D013D" w:rsidRDefault="004D013D" w:rsidP="004D013D">
      <w:pPr>
        <w:pStyle w:val="ListParagraph"/>
        <w:numPr>
          <w:ilvl w:val="0"/>
          <w:numId w:val="11"/>
        </w:numPr>
        <w:spacing w:after="160" w:line="259" w:lineRule="auto"/>
        <w:rPr>
          <w:bCs/>
        </w:rPr>
      </w:pPr>
      <w:r>
        <w:rPr>
          <w:bCs/>
        </w:rPr>
        <w:t>The Select Committee into Child Development Services</w:t>
      </w:r>
    </w:p>
    <w:p w14:paraId="52C50A19" w14:textId="77777777" w:rsidR="004D013D" w:rsidRDefault="004D013D" w:rsidP="004D013D">
      <w:pPr>
        <w:pStyle w:val="ListParagraph"/>
        <w:numPr>
          <w:ilvl w:val="0"/>
          <w:numId w:val="11"/>
        </w:numPr>
        <w:spacing w:after="160" w:line="259" w:lineRule="auto"/>
        <w:rPr>
          <w:bCs/>
        </w:rPr>
      </w:pPr>
      <w:r>
        <w:t>A path to universal early childhood education and care – Inquiry Report</w:t>
      </w:r>
    </w:p>
    <w:p w14:paraId="6C21560B" w14:textId="77777777" w:rsidR="004D013D" w:rsidRPr="00F82244" w:rsidRDefault="004D013D" w:rsidP="004D013D">
      <w:pPr>
        <w:rPr>
          <w:bCs/>
        </w:rPr>
      </w:pPr>
      <w:r>
        <w:t>Acknowledging the number of other national and State strategies with a focus on this period, the project team is working to ensure the Framework is a conduit to existing initiatives.</w:t>
      </w:r>
    </w:p>
    <w:p w14:paraId="55EED297" w14:textId="77777777" w:rsidR="004D013D" w:rsidRDefault="004D013D" w:rsidP="004D013D">
      <w:pPr>
        <w:pStyle w:val="Heading3"/>
      </w:pPr>
      <w:r w:rsidRPr="00247E41">
        <w:t>Consultation</w:t>
      </w:r>
    </w:p>
    <w:p w14:paraId="33492B9D" w14:textId="742D9C94" w:rsidR="004D013D" w:rsidRPr="004D013D" w:rsidRDefault="004D013D" w:rsidP="004D013D">
      <w:pPr>
        <w:rPr>
          <w:bCs/>
        </w:rPr>
      </w:pPr>
      <w:r>
        <w:rPr>
          <w:bCs/>
        </w:rPr>
        <w:t xml:space="preserve">In addition to the review of relevant strategic documents, of the team has engaged through meetings and workshops to inform framework elements, such as focus areas and priorities. </w:t>
      </w:r>
    </w:p>
    <w:p w14:paraId="494A07D4" w14:textId="37A1C659" w:rsidR="004D013D" w:rsidRDefault="004D013D" w:rsidP="004D013D">
      <w:pPr>
        <w:jc w:val="center"/>
        <w:rPr>
          <w:bCs/>
          <w:i/>
          <w:iCs/>
          <w:sz w:val="20"/>
          <w:szCs w:val="20"/>
        </w:rPr>
      </w:pPr>
      <w:r w:rsidRPr="00663610">
        <w:rPr>
          <w:rFonts w:ascii="Times New Roman" w:eastAsia="Times New Roman" w:hAnsi="Times New Roman" w:cs="Times New Roman"/>
          <w:noProof/>
          <w:szCs w:val="24"/>
          <w:lang w:eastAsia="en-AU"/>
        </w:rPr>
        <w:drawing>
          <wp:anchor distT="0" distB="0" distL="114300" distR="114300" simplePos="0" relativeHeight="251658240" behindDoc="0" locked="0" layoutInCell="1" allowOverlap="1" wp14:anchorId="6FC6EDAA" wp14:editId="5443140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365754" cy="2528304"/>
            <wp:effectExtent l="0" t="0" r="6350" b="5715"/>
            <wp:wrapNone/>
            <wp:docPr id="103458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54" cy="25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343D6" w14:textId="0BBA3268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5B0BCBC5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6CAD6B91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4EAA28D5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595C5EAA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253C7508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2CC84260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18A3505F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38FB6049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3A395236" w14:textId="08FB5F5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436A506B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2971C990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1279D550" w14:textId="77777777" w:rsid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40186872" w14:textId="09962010" w:rsidR="004D013D" w:rsidRDefault="004D013D" w:rsidP="004D013D">
      <w:pPr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Figure 1: Timeline of consultation activities from April – September 2024.</w:t>
      </w:r>
    </w:p>
    <w:p w14:paraId="6CBD1B8A" w14:textId="77777777" w:rsidR="004D013D" w:rsidRPr="004D013D" w:rsidRDefault="004D013D" w:rsidP="004D013D">
      <w:pPr>
        <w:jc w:val="center"/>
        <w:rPr>
          <w:bCs/>
          <w:i/>
          <w:iCs/>
          <w:sz w:val="20"/>
          <w:szCs w:val="20"/>
        </w:rPr>
      </w:pPr>
    </w:p>
    <w:p w14:paraId="38676D9F" w14:textId="7E7C85D7" w:rsidR="004D013D" w:rsidRDefault="004D013D" w:rsidP="004D013D">
      <w:r>
        <w:t xml:space="preserve">Three project advisory groups have been established to provide targeted advice on the framework. </w:t>
      </w:r>
    </w:p>
    <w:p w14:paraId="437FE22E" w14:textId="77777777" w:rsidR="004D013D" w:rsidRDefault="004D013D" w:rsidP="004D013D"/>
    <w:p w14:paraId="72E54134" w14:textId="77777777" w:rsidR="004D013D" w:rsidRDefault="004D013D" w:rsidP="004D013D">
      <w:r>
        <w:lastRenderedPageBreak/>
        <w:t xml:space="preserve">In addition to the </w:t>
      </w:r>
      <w:r w:rsidRPr="00915841">
        <w:rPr>
          <w:b/>
          <w:bCs/>
        </w:rPr>
        <w:t>consumer advisory group</w:t>
      </w:r>
      <w:r>
        <w:t xml:space="preserve"> and </w:t>
      </w:r>
      <w:r w:rsidRPr="00915841">
        <w:rPr>
          <w:b/>
          <w:bCs/>
        </w:rPr>
        <w:t>interagency group</w:t>
      </w:r>
      <w:r>
        <w:rPr>
          <w:b/>
          <w:bCs/>
        </w:rPr>
        <w:t xml:space="preserve">, </w:t>
      </w:r>
      <w:r>
        <w:t xml:space="preserve">a </w:t>
      </w:r>
      <w:r>
        <w:rPr>
          <w:b/>
          <w:bCs/>
        </w:rPr>
        <w:t xml:space="preserve">health advisory group </w:t>
      </w:r>
      <w:r>
        <w:t xml:space="preserve">has been </w:t>
      </w:r>
      <w:r w:rsidRPr="00113569">
        <w:t>established with</w:t>
      </w:r>
      <w:r>
        <w:t xml:space="preserve"> representatives from </w:t>
      </w:r>
      <w:r w:rsidDel="00B91EB6">
        <w:t xml:space="preserve">across WA </w:t>
      </w:r>
      <w:r>
        <w:t>H</w:t>
      </w:r>
      <w:r w:rsidDel="00B91EB6">
        <w:t>ealth</w:t>
      </w:r>
      <w:r>
        <w:t xml:space="preserve">. Together, these groups provide valuable feedback and expertise to inform framework development. </w:t>
      </w:r>
    </w:p>
    <w:p w14:paraId="68F211CE" w14:textId="77777777" w:rsidR="004D013D" w:rsidRPr="00915841" w:rsidRDefault="004D013D" w:rsidP="004D013D"/>
    <w:p w14:paraId="60035CED" w14:textId="77777777" w:rsidR="004D013D" w:rsidRDefault="004D013D" w:rsidP="004D013D">
      <w:r>
        <w:t xml:space="preserve">From August to October, the First 1,000 Days Framework team engaged with about 140 stakeholders from 30 stakeholder groups through face-to-face and online workshops, as well as ongoing consultation through the established project advisory groups. </w:t>
      </w:r>
    </w:p>
    <w:p w14:paraId="43CF65B1" w14:textId="77777777" w:rsidR="004D013D" w:rsidRPr="000A6CD1" w:rsidRDefault="004D013D" w:rsidP="004D013D"/>
    <w:p w14:paraId="7C10E5CF" w14:textId="77777777" w:rsidR="004D013D" w:rsidRDefault="004D013D" w:rsidP="004D013D">
      <w:r>
        <w:t xml:space="preserve">We </w:t>
      </w:r>
      <w:r w:rsidRPr="00533906">
        <w:t>thank all participants for their valuable time, effort</w:t>
      </w:r>
      <w:r w:rsidRPr="00533906" w:rsidDel="006B1060">
        <w:t>,</w:t>
      </w:r>
      <w:r w:rsidRPr="00533906">
        <w:t xml:space="preserve"> and insights. Your contributions have been instrumental in shaping the framework to date</w:t>
      </w:r>
      <w:r>
        <w:t>.</w:t>
      </w:r>
    </w:p>
    <w:p w14:paraId="0604AF65" w14:textId="77777777" w:rsidR="004D013D" w:rsidRDefault="004D013D" w:rsidP="004D013D"/>
    <w:p w14:paraId="2F4D1DC0" w14:textId="59C5DA22" w:rsidR="004D013D" w:rsidRDefault="004D013D" w:rsidP="004D013D">
      <w:r>
        <w:t xml:space="preserve">Through this consultation, we have identified </w:t>
      </w:r>
      <w:r w:rsidRPr="432EF08D">
        <w:rPr>
          <w:b/>
          <w:bCs/>
        </w:rPr>
        <w:t>four draft key focus areas</w:t>
      </w:r>
      <w:r>
        <w:t xml:space="preserve"> as illustrated below:</w:t>
      </w:r>
    </w:p>
    <w:p w14:paraId="53DA7F0E" w14:textId="164E34C1" w:rsidR="004D013D" w:rsidRDefault="004D013D" w:rsidP="004D013D">
      <w:r>
        <w:rPr>
          <w:rFonts w:eastAsia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6CC1BDA8" wp14:editId="7C0D5541">
            <wp:simplePos x="0" y="0"/>
            <wp:positionH relativeFrom="margin">
              <wp:posOffset>990600</wp:posOffset>
            </wp:positionH>
            <wp:positionV relativeFrom="paragraph">
              <wp:posOffset>142240</wp:posOffset>
            </wp:positionV>
            <wp:extent cx="4063365" cy="3200400"/>
            <wp:effectExtent l="0" t="0" r="0" b="0"/>
            <wp:wrapNone/>
            <wp:docPr id="462026560" name="Picture 462026560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of a diagram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2" b="2059"/>
                    <a:stretch/>
                  </pic:blipFill>
                  <pic:spPr bwMode="auto">
                    <a:xfrm>
                      <a:off x="0" y="0"/>
                      <a:ext cx="406336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063A7" w14:textId="77777777" w:rsidR="004D013D" w:rsidRDefault="004D013D" w:rsidP="004D013D"/>
    <w:p w14:paraId="0EAA7568" w14:textId="3920D2E7" w:rsidR="004D013D" w:rsidRDefault="004D013D" w:rsidP="004D013D"/>
    <w:p w14:paraId="4EE891F5" w14:textId="4B864AF7" w:rsidR="004D013D" w:rsidRDefault="004D013D" w:rsidP="004D013D"/>
    <w:p w14:paraId="2FB687D0" w14:textId="77777777" w:rsidR="004D013D" w:rsidRDefault="004D013D" w:rsidP="004D013D"/>
    <w:p w14:paraId="717D2BFD" w14:textId="050216E6" w:rsidR="004D013D" w:rsidRDefault="004D013D" w:rsidP="004D013D"/>
    <w:p w14:paraId="0E457D7F" w14:textId="1ADE69A2" w:rsidR="004D013D" w:rsidRDefault="004D013D" w:rsidP="004D013D"/>
    <w:p w14:paraId="7392950D" w14:textId="2182BECA" w:rsidR="004D013D" w:rsidRDefault="004D013D" w:rsidP="004D013D"/>
    <w:p w14:paraId="45AE3EC8" w14:textId="77777777" w:rsidR="004D013D" w:rsidRDefault="004D013D" w:rsidP="004D013D"/>
    <w:p w14:paraId="71D061E6" w14:textId="77777777" w:rsidR="004D013D" w:rsidRDefault="004D013D" w:rsidP="004D013D"/>
    <w:p w14:paraId="1900B706" w14:textId="77777777" w:rsidR="004D013D" w:rsidRDefault="004D013D" w:rsidP="004D013D"/>
    <w:p w14:paraId="276E4C13" w14:textId="77777777" w:rsidR="004D013D" w:rsidRDefault="004D013D" w:rsidP="004D013D"/>
    <w:p w14:paraId="14A4312A" w14:textId="77777777" w:rsidR="004D013D" w:rsidRDefault="004D013D" w:rsidP="004D013D"/>
    <w:p w14:paraId="430AECBB" w14:textId="77777777" w:rsidR="004D013D" w:rsidRDefault="004D013D" w:rsidP="004D013D"/>
    <w:p w14:paraId="1CF31F0E" w14:textId="77777777" w:rsidR="004D013D" w:rsidRDefault="004D013D" w:rsidP="004D013D"/>
    <w:p w14:paraId="65EC92E8" w14:textId="77777777" w:rsidR="004D013D" w:rsidRPr="000A6CD1" w:rsidRDefault="004D013D" w:rsidP="004D013D"/>
    <w:p w14:paraId="3C7B29CA" w14:textId="2626812D" w:rsidR="004D013D" w:rsidRDefault="004D013D" w:rsidP="004D013D">
      <w:pPr>
        <w:jc w:val="center"/>
      </w:pPr>
    </w:p>
    <w:p w14:paraId="4E61E6BA" w14:textId="77777777" w:rsidR="004D013D" w:rsidRDefault="004D013D" w:rsidP="004D013D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5D4AE212" w14:textId="1CDD4204" w:rsidR="004D013D" w:rsidRPr="004D013D" w:rsidRDefault="004D013D" w:rsidP="004D013D">
      <w:pPr>
        <w:jc w:val="center"/>
        <w:rPr>
          <w:rFonts w:eastAsia="Calibri" w:cs="Times New Roman"/>
          <w:i/>
          <w:iCs/>
          <w:sz w:val="18"/>
          <w:szCs w:val="18"/>
        </w:rPr>
      </w:pPr>
      <w:r w:rsidRPr="432EF08D">
        <w:rPr>
          <w:rFonts w:eastAsia="Calibri" w:cs="Times New Roman"/>
          <w:i/>
          <w:iCs/>
          <w:sz w:val="18"/>
          <w:szCs w:val="18"/>
        </w:rPr>
        <w:t>Figure 2: Draft ecological model of the WA First 1000 Days Framework draft Focus Areas.</w:t>
      </w:r>
    </w:p>
    <w:p w14:paraId="2FABBFEA" w14:textId="77777777" w:rsidR="004D013D" w:rsidRDefault="004D013D" w:rsidP="004D013D">
      <w:pPr>
        <w:rPr>
          <w:b/>
        </w:rPr>
      </w:pPr>
    </w:p>
    <w:p w14:paraId="5F8E84AE" w14:textId="3DF78F8D" w:rsidR="004D013D" w:rsidRDefault="004D013D" w:rsidP="004D013D">
      <w:pPr>
        <w:rPr>
          <w:b/>
        </w:rPr>
      </w:pPr>
      <w:r w:rsidRPr="00247E41">
        <w:rPr>
          <w:b/>
        </w:rPr>
        <w:t>Next Steps</w:t>
      </w:r>
    </w:p>
    <w:p w14:paraId="78C523B3" w14:textId="77777777" w:rsidR="004D013D" w:rsidRPr="00247E41" w:rsidRDefault="004D013D" w:rsidP="004D013D">
      <w:pPr>
        <w:rPr>
          <w:b/>
        </w:rPr>
      </w:pPr>
    </w:p>
    <w:p w14:paraId="798501CA" w14:textId="77777777" w:rsidR="004D013D" w:rsidRPr="000A6CD1" w:rsidRDefault="004D013D" w:rsidP="004D013D">
      <w:r>
        <w:t>The team is now identifying priorities for each focus area based on the feedback from consultation, consumers</w:t>
      </w:r>
      <w:r w:rsidDel="00A7520F">
        <w:t>,</w:t>
      </w:r>
      <w:r>
        <w:t xml:space="preserve"> a review of the evidence and review of other strategic initiatives. </w:t>
      </w:r>
    </w:p>
    <w:p w14:paraId="170F0F60" w14:textId="77777777" w:rsidR="004D013D" w:rsidRDefault="004D013D" w:rsidP="004D013D">
      <w:r>
        <w:t>More information, including framework development, will be provided in early 2025.</w:t>
      </w:r>
    </w:p>
    <w:p w14:paraId="7EA2A8E0" w14:textId="2DD67339" w:rsidR="004D013D" w:rsidRDefault="004D013D" w:rsidP="004D013D">
      <w:r>
        <w:t xml:space="preserve"> </w:t>
      </w:r>
    </w:p>
    <w:p w14:paraId="5609B8C1" w14:textId="65020A19" w:rsidR="001D0C60" w:rsidRPr="001A5EF6" w:rsidRDefault="004D013D" w:rsidP="00BE0E02">
      <w:r>
        <w:t xml:space="preserve">Please visit the </w:t>
      </w:r>
      <w:hyperlink r:id="rId10" w:history="1">
        <w:r w:rsidRPr="00525BD8">
          <w:rPr>
            <w:rStyle w:val="Hyperlink"/>
          </w:rPr>
          <w:t>First 1</w:t>
        </w:r>
        <w:r>
          <w:rPr>
            <w:rStyle w:val="Hyperlink"/>
          </w:rPr>
          <w:t>,</w:t>
        </w:r>
        <w:r w:rsidRPr="00525BD8">
          <w:rPr>
            <w:rStyle w:val="Hyperlink"/>
          </w:rPr>
          <w:t>000 Days Framework website</w:t>
        </w:r>
      </w:hyperlink>
      <w:r>
        <w:t xml:space="preserve"> for a project outline.</w:t>
      </w:r>
      <w:r>
        <w:t xml:space="preserve"> </w:t>
      </w:r>
      <w:r>
        <w:t xml:space="preserve">You can also contact the team at </w:t>
      </w:r>
      <w:hyperlink r:id="rId11" w:history="1">
        <w:r w:rsidRPr="00951E95">
          <w:rPr>
            <w:rStyle w:val="Hyperlink"/>
          </w:rPr>
          <w:t>first1000days@health.wa.gov.au</w:t>
        </w:r>
      </w:hyperlink>
    </w:p>
    <w:sectPr w:rsidR="001D0C60" w:rsidRPr="001A5EF6" w:rsidSect="00677883">
      <w:headerReference w:type="even" r:id="rId12"/>
      <w:footerReference w:type="even" r:id="rId13"/>
      <w:headerReference w:type="first" r:id="rId14"/>
      <w:footerReference w:type="first" r:id="rId15"/>
      <w:type w:val="continuous"/>
      <w:pgSz w:w="11906" w:h="16838" w:code="9"/>
      <w:pgMar w:top="1386" w:right="1134" w:bottom="1843" w:left="1134" w:header="39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9EE53" w14:textId="77777777" w:rsidR="0045395B" w:rsidRDefault="0045395B" w:rsidP="0013662A">
      <w:r>
        <w:separator/>
      </w:r>
    </w:p>
  </w:endnote>
  <w:endnote w:type="continuationSeparator" w:id="0">
    <w:p w14:paraId="0CBEA01B" w14:textId="77777777" w:rsidR="0045395B" w:rsidRDefault="0045395B" w:rsidP="0013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27E4" w14:textId="35386D5D" w:rsidR="00677883" w:rsidRDefault="004D013D" w:rsidP="00677883">
    <w:pPr>
      <w:pStyle w:val="NoParagraphStyle"/>
      <w:suppressAutoHyphens/>
      <w:spacing w:line="240" w:lineRule="auto"/>
      <w:ind w:left="5760"/>
      <w:rPr>
        <w:rFonts w:ascii="Arial" w:hAnsi="Arial" w:cs="Arial"/>
        <w:sz w:val="16"/>
        <w:szCs w:val="16"/>
        <w:lang w:val="en-GB"/>
      </w:rPr>
    </w:pPr>
    <w:bookmarkStart w:id="1" w:name="_Hlk13749758"/>
    <w:bookmarkStart w:id="2" w:name="_Hlk13749759"/>
    <w:r>
      <w:rPr>
        <w:noProof/>
        <w:lang w:eastAsia="en-AU"/>
      </w:rPr>
      <w:drawing>
        <wp:anchor distT="0" distB="0" distL="114300" distR="114300" simplePos="0" relativeHeight="251694080" behindDoc="1" locked="0" layoutInCell="1" allowOverlap="1" wp14:anchorId="3CA0188E" wp14:editId="50C84A0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82535" cy="899795"/>
          <wp:effectExtent l="0" t="0" r="0" b="0"/>
          <wp:wrapNone/>
          <wp:docPr id="928691917" name="Picture 928691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" name="Fact Sheet Template A4 small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bookmarkEnd w:id="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827A" w14:textId="2FF3C0CE" w:rsidR="0013662A" w:rsidRPr="00232283" w:rsidRDefault="004D013D" w:rsidP="00232283">
    <w:pPr>
      <w:spacing w:after="240"/>
      <w:rPr>
        <w:b/>
        <w:color w:val="EA5329" w:themeColor="accent2"/>
        <w:sz w:val="30"/>
        <w:szCs w:val="30"/>
      </w:rPr>
    </w:pPr>
    <w:r>
      <w:rPr>
        <w:noProof/>
        <w:lang w:eastAsia="en-AU"/>
      </w:rPr>
      <w:drawing>
        <wp:anchor distT="0" distB="0" distL="114300" distR="114300" simplePos="0" relativeHeight="251689984" behindDoc="1" locked="0" layoutInCell="1" allowOverlap="1" wp14:anchorId="22497443" wp14:editId="065477D0">
          <wp:simplePos x="0" y="0"/>
          <wp:positionH relativeFrom="margin">
            <wp:align>center</wp:align>
          </wp:positionH>
          <wp:positionV relativeFrom="bottomMargin">
            <wp:posOffset>279400</wp:posOffset>
          </wp:positionV>
          <wp:extent cx="7582535" cy="89979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" name="Fact Sheet Template A4 small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8842A" w14:textId="77777777" w:rsidR="0045395B" w:rsidRDefault="0045395B" w:rsidP="0013662A">
      <w:r>
        <w:separator/>
      </w:r>
    </w:p>
  </w:footnote>
  <w:footnote w:type="continuationSeparator" w:id="0">
    <w:p w14:paraId="54BBAEF4" w14:textId="77777777" w:rsidR="0045395B" w:rsidRDefault="0045395B" w:rsidP="00136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935F1" w14:textId="3D95C2AB" w:rsidR="00677883" w:rsidRDefault="004D013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92032" behindDoc="0" locked="0" layoutInCell="1" allowOverlap="1" wp14:anchorId="0214D096" wp14:editId="3559DE75">
          <wp:simplePos x="0" y="0"/>
          <wp:positionH relativeFrom="page">
            <wp:align>right</wp:align>
          </wp:positionH>
          <wp:positionV relativeFrom="paragraph">
            <wp:posOffset>-248285</wp:posOffset>
          </wp:positionV>
          <wp:extent cx="7559675" cy="1276985"/>
          <wp:effectExtent l="0" t="0" r="3175" b="0"/>
          <wp:wrapSquare wrapText="bothSides"/>
          <wp:docPr id="448753764" name="Picture 448753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76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F929D" w14:textId="293050BA" w:rsidR="00483052" w:rsidRDefault="004D013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7936" behindDoc="0" locked="0" layoutInCell="1" allowOverlap="1" wp14:anchorId="4556E076" wp14:editId="1060D04F">
          <wp:simplePos x="0" y="0"/>
          <wp:positionH relativeFrom="page">
            <wp:align>left</wp:align>
          </wp:positionH>
          <wp:positionV relativeFrom="paragraph">
            <wp:posOffset>-247650</wp:posOffset>
          </wp:positionV>
          <wp:extent cx="7559675" cy="1276985"/>
          <wp:effectExtent l="0" t="0" r="317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76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B97"/>
    <w:multiLevelType w:val="hybridMultilevel"/>
    <w:tmpl w:val="8752F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073D6"/>
    <w:multiLevelType w:val="hybridMultilevel"/>
    <w:tmpl w:val="76AAB6F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0DE47EB"/>
    <w:multiLevelType w:val="hybridMultilevel"/>
    <w:tmpl w:val="74B2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A54DE"/>
    <w:multiLevelType w:val="hybridMultilevel"/>
    <w:tmpl w:val="46DA8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F350D"/>
    <w:multiLevelType w:val="hybridMultilevel"/>
    <w:tmpl w:val="C3C02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078E8"/>
    <w:multiLevelType w:val="hybridMultilevel"/>
    <w:tmpl w:val="647C6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E67E7"/>
    <w:multiLevelType w:val="hybridMultilevel"/>
    <w:tmpl w:val="FB20C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91E3B"/>
    <w:multiLevelType w:val="hybridMultilevel"/>
    <w:tmpl w:val="F124B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6BE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76756"/>
    <w:multiLevelType w:val="hybridMultilevel"/>
    <w:tmpl w:val="2236D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E078E"/>
    <w:multiLevelType w:val="hybridMultilevel"/>
    <w:tmpl w:val="115A07D2"/>
    <w:lvl w:ilvl="0" w:tplc="4C328C82">
      <w:numFmt w:val="bullet"/>
      <w:lvlText w:val="•"/>
      <w:lvlJc w:val="left"/>
      <w:pPr>
        <w:ind w:left="780" w:hanging="4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24182">
    <w:abstractNumId w:val="8"/>
  </w:num>
  <w:num w:numId="2" w16cid:durableId="731201409">
    <w:abstractNumId w:val="7"/>
  </w:num>
  <w:num w:numId="3" w16cid:durableId="1587305874">
    <w:abstractNumId w:val="10"/>
  </w:num>
  <w:num w:numId="4" w16cid:durableId="1996299460">
    <w:abstractNumId w:val="9"/>
  </w:num>
  <w:num w:numId="5" w16cid:durableId="1867979772">
    <w:abstractNumId w:val="5"/>
  </w:num>
  <w:num w:numId="6" w16cid:durableId="1685668122">
    <w:abstractNumId w:val="1"/>
  </w:num>
  <w:num w:numId="7" w16cid:durableId="1008096205">
    <w:abstractNumId w:val="2"/>
  </w:num>
  <w:num w:numId="8" w16cid:durableId="75396972">
    <w:abstractNumId w:val="6"/>
  </w:num>
  <w:num w:numId="9" w16cid:durableId="289171304">
    <w:abstractNumId w:val="4"/>
  </w:num>
  <w:num w:numId="10" w16cid:durableId="101803619">
    <w:abstractNumId w:val="0"/>
  </w:num>
  <w:num w:numId="11" w16cid:durableId="3708807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7BD"/>
    <w:rsid w:val="000244A9"/>
    <w:rsid w:val="000412D9"/>
    <w:rsid w:val="000817F3"/>
    <w:rsid w:val="00090F60"/>
    <w:rsid w:val="000E7B44"/>
    <w:rsid w:val="0013662A"/>
    <w:rsid w:val="001437E0"/>
    <w:rsid w:val="00171B7B"/>
    <w:rsid w:val="001A2AC6"/>
    <w:rsid w:val="001A5EF6"/>
    <w:rsid w:val="001C7D1F"/>
    <w:rsid w:val="001D0C60"/>
    <w:rsid w:val="001F6030"/>
    <w:rsid w:val="001F68E9"/>
    <w:rsid w:val="00210FE7"/>
    <w:rsid w:val="00220E8F"/>
    <w:rsid w:val="00232283"/>
    <w:rsid w:val="0029144D"/>
    <w:rsid w:val="002B469F"/>
    <w:rsid w:val="002C7D7D"/>
    <w:rsid w:val="002E1EA5"/>
    <w:rsid w:val="002E5F5B"/>
    <w:rsid w:val="00304A0A"/>
    <w:rsid w:val="003228C8"/>
    <w:rsid w:val="003277EF"/>
    <w:rsid w:val="00355004"/>
    <w:rsid w:val="003929E7"/>
    <w:rsid w:val="003A68CE"/>
    <w:rsid w:val="003D5461"/>
    <w:rsid w:val="0045395B"/>
    <w:rsid w:val="00466DB9"/>
    <w:rsid w:val="00471692"/>
    <w:rsid w:val="00483052"/>
    <w:rsid w:val="00492C70"/>
    <w:rsid w:val="004A609E"/>
    <w:rsid w:val="004C2780"/>
    <w:rsid w:val="004C27CB"/>
    <w:rsid w:val="004C6976"/>
    <w:rsid w:val="004D013D"/>
    <w:rsid w:val="00521D1A"/>
    <w:rsid w:val="00542C31"/>
    <w:rsid w:val="00553BCC"/>
    <w:rsid w:val="0056716B"/>
    <w:rsid w:val="00597A85"/>
    <w:rsid w:val="005A409E"/>
    <w:rsid w:val="005A4DC8"/>
    <w:rsid w:val="005A54F3"/>
    <w:rsid w:val="005D455D"/>
    <w:rsid w:val="0064313F"/>
    <w:rsid w:val="00677883"/>
    <w:rsid w:val="00690F3E"/>
    <w:rsid w:val="006A1721"/>
    <w:rsid w:val="006F1E2D"/>
    <w:rsid w:val="006F52D0"/>
    <w:rsid w:val="0070521B"/>
    <w:rsid w:val="00753150"/>
    <w:rsid w:val="0077027C"/>
    <w:rsid w:val="00783784"/>
    <w:rsid w:val="00794DF0"/>
    <w:rsid w:val="007B5CD3"/>
    <w:rsid w:val="007C3222"/>
    <w:rsid w:val="007D3AE7"/>
    <w:rsid w:val="007D793C"/>
    <w:rsid w:val="00806588"/>
    <w:rsid w:val="00815537"/>
    <w:rsid w:val="00856615"/>
    <w:rsid w:val="00881846"/>
    <w:rsid w:val="00882643"/>
    <w:rsid w:val="00885FFD"/>
    <w:rsid w:val="00897837"/>
    <w:rsid w:val="008C5675"/>
    <w:rsid w:val="008C6F0A"/>
    <w:rsid w:val="008E3665"/>
    <w:rsid w:val="008E453B"/>
    <w:rsid w:val="008F7FE4"/>
    <w:rsid w:val="009268E4"/>
    <w:rsid w:val="00930DF8"/>
    <w:rsid w:val="00933CEB"/>
    <w:rsid w:val="00940FD8"/>
    <w:rsid w:val="009668ED"/>
    <w:rsid w:val="00981DA1"/>
    <w:rsid w:val="00990D6C"/>
    <w:rsid w:val="009B0844"/>
    <w:rsid w:val="009C010D"/>
    <w:rsid w:val="009C16B2"/>
    <w:rsid w:val="009E65BA"/>
    <w:rsid w:val="009F7B15"/>
    <w:rsid w:val="00A16E28"/>
    <w:rsid w:val="00A77535"/>
    <w:rsid w:val="00A91C4C"/>
    <w:rsid w:val="00AA1620"/>
    <w:rsid w:val="00AA59CF"/>
    <w:rsid w:val="00AF0C79"/>
    <w:rsid w:val="00B17ECC"/>
    <w:rsid w:val="00B85FD3"/>
    <w:rsid w:val="00BB5682"/>
    <w:rsid w:val="00BD41EB"/>
    <w:rsid w:val="00BD7C33"/>
    <w:rsid w:val="00BE0E02"/>
    <w:rsid w:val="00BE3C2D"/>
    <w:rsid w:val="00C45929"/>
    <w:rsid w:val="00C7143D"/>
    <w:rsid w:val="00C729CE"/>
    <w:rsid w:val="00CF2778"/>
    <w:rsid w:val="00CF64E2"/>
    <w:rsid w:val="00D147D4"/>
    <w:rsid w:val="00D62E3D"/>
    <w:rsid w:val="00D636EE"/>
    <w:rsid w:val="00D85293"/>
    <w:rsid w:val="00D9301F"/>
    <w:rsid w:val="00DD22D0"/>
    <w:rsid w:val="00DD4CFA"/>
    <w:rsid w:val="00DE4BFE"/>
    <w:rsid w:val="00E07F33"/>
    <w:rsid w:val="00E40563"/>
    <w:rsid w:val="00E47483"/>
    <w:rsid w:val="00E56144"/>
    <w:rsid w:val="00E775B0"/>
    <w:rsid w:val="00F568D7"/>
    <w:rsid w:val="00F647BD"/>
    <w:rsid w:val="00F94718"/>
    <w:rsid w:val="00FE629B"/>
    <w:rsid w:val="00FF0D8D"/>
    <w:rsid w:val="00FF19AF"/>
    <w:rsid w:val="00FF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B1E3A"/>
  <w15:docId w15:val="{91149B57-023D-4762-B162-1D5149F14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unhideWhenUsed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3D5461"/>
    <w:pPr>
      <w:spacing w:after="0" w:line="300" w:lineRule="exac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5461"/>
    <w:pPr>
      <w:keepNext/>
      <w:keepLines/>
      <w:spacing w:before="240" w:after="240"/>
      <w:outlineLvl w:val="0"/>
    </w:pPr>
    <w:rPr>
      <w:rFonts w:eastAsiaTheme="majorEastAsia" w:cstheme="majorBidi"/>
      <w:bCs/>
      <w:color w:val="0076BE" w:themeColor="accent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64313F"/>
    <w:pPr>
      <w:keepNext/>
      <w:keepLines/>
      <w:spacing w:before="240" w:after="120"/>
      <w:outlineLvl w:val="1"/>
    </w:pPr>
    <w:rPr>
      <w:rFonts w:eastAsiaTheme="majorEastAsia" w:cstheme="majorBidi"/>
      <w:bCs/>
      <w:color w:val="0076BE" w:themeColor="accent1"/>
      <w:sz w:val="36"/>
      <w:szCs w:val="5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4313F"/>
    <w:pPr>
      <w:spacing w:before="240" w:after="120"/>
      <w:outlineLvl w:val="2"/>
    </w:pPr>
    <w:rPr>
      <w:color w:val="0076BE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58595B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Normal"/>
    <w:rsid w:val="004C2780"/>
    <w:pPr>
      <w:spacing w:before="240" w:after="660"/>
    </w:pPr>
    <w:rPr>
      <w:b/>
      <w:color w:val="000000" w:themeColor="text1"/>
      <w:sz w:val="60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3D5461"/>
    <w:rPr>
      <w:rFonts w:ascii="Arial" w:eastAsiaTheme="majorEastAsia" w:hAnsi="Arial" w:cstheme="majorBidi"/>
      <w:bCs/>
      <w:color w:val="0076BE" w:themeColor="accent1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313F"/>
    <w:rPr>
      <w:rFonts w:ascii="Arial" w:eastAsiaTheme="majorEastAsia" w:hAnsi="Arial" w:cstheme="majorBidi"/>
      <w:bCs/>
      <w:color w:val="0076BE" w:themeColor="accent1"/>
      <w:sz w:val="3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64313F"/>
    <w:rPr>
      <w:rFonts w:ascii="Arial" w:hAnsi="Arial"/>
      <w:color w:val="0076BE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58595B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line="276" w:lineRule="auto"/>
      <w:outlineLvl w:val="9"/>
    </w:pPr>
    <w:rPr>
      <w:rFonts w:asciiTheme="majorHAnsi" w:hAnsiTheme="majorHAnsi"/>
      <w:color w:val="00578E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val="en-US"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0076BE" w:themeColor="accent1"/>
          <w:left w:val="nil"/>
          <w:bottom w:val="single" w:sz="8" w:space="0" w:color="0076B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6BE" w:themeColor="accent1"/>
          <w:left w:val="nil"/>
          <w:bottom w:val="single" w:sz="8" w:space="0" w:color="0076B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E0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5329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0076BE" w:themeColor="accent1"/>
        <w:left w:val="single" w:sz="8" w:space="0" w:color="0076BE" w:themeColor="accent1"/>
        <w:bottom w:val="single" w:sz="8" w:space="0" w:color="0076BE" w:themeColor="accent1"/>
        <w:right w:val="single" w:sz="8" w:space="0" w:color="0076B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6B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</w:tcPr>
    </w:tblStylePr>
    <w:tblStylePr w:type="band1Horz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00578E" w:themeColor="accent1" w:themeShade="BF"/>
    </w:rPr>
    <w:tblPr>
      <w:tblStyleRowBandSize w:val="1"/>
      <w:tblStyleColBandSize w:val="1"/>
      <w:tblBorders>
        <w:top w:val="single" w:sz="8" w:space="0" w:color="0076BE" w:themeColor="accent1"/>
        <w:bottom w:val="single" w:sz="8" w:space="0" w:color="0076B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6BE" w:themeColor="accent1"/>
          <w:left w:val="nil"/>
          <w:bottom w:val="single" w:sz="8" w:space="0" w:color="0076B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6BE" w:themeColor="accent1"/>
          <w:left w:val="nil"/>
          <w:bottom w:val="single" w:sz="8" w:space="0" w:color="0076B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E0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FE0FF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0076B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</w:tcPr>
    </w:tblStylePr>
    <w:tblStylePr w:type="band1Horz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0076BE" w:themeColor="accent1"/>
        <w:left w:val="single" w:sz="8" w:space="0" w:color="0076BE" w:themeColor="accent1"/>
        <w:bottom w:val="single" w:sz="8" w:space="0" w:color="0076BE" w:themeColor="accent1"/>
        <w:right w:val="single" w:sz="8" w:space="0" w:color="0076BE" w:themeColor="accent1"/>
        <w:insideH w:val="single" w:sz="8" w:space="0" w:color="0076BE" w:themeColor="accent1"/>
        <w:insideV w:val="single" w:sz="8" w:space="0" w:color="0076B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18" w:space="0" w:color="0076BE" w:themeColor="accent1"/>
          <w:right w:val="single" w:sz="8" w:space="0" w:color="0076BE" w:themeColor="accent1"/>
          <w:insideH w:val="nil"/>
          <w:insideV w:val="single" w:sz="8" w:space="0" w:color="0076B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  <w:insideH w:val="nil"/>
          <w:insideV w:val="single" w:sz="8" w:space="0" w:color="0076B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</w:tcPr>
    </w:tblStylePr>
    <w:tblStylePr w:type="band1Vert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  <w:shd w:val="clear" w:color="auto" w:fill="AFE0FF" w:themeFill="accent1" w:themeFillTint="3F"/>
      </w:tcPr>
    </w:tblStylePr>
    <w:tblStylePr w:type="band1Horz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  <w:insideV w:val="single" w:sz="8" w:space="0" w:color="0076BE" w:themeColor="accent1"/>
        </w:tcBorders>
        <w:shd w:val="clear" w:color="auto" w:fill="AFE0FF" w:themeFill="accent1" w:themeFillTint="3F"/>
      </w:tcPr>
    </w:tblStylePr>
    <w:tblStylePr w:type="band2Horz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  <w:insideV w:val="single" w:sz="8" w:space="0" w:color="0076BE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0076BE" w:themeColor="accent1"/>
          <w:left w:val="single" w:sz="8" w:space="0" w:color="0076BE" w:themeColor="accent1"/>
          <w:bottom w:val="single" w:sz="18" w:space="0" w:color="0076BE" w:themeColor="accent1"/>
          <w:right w:val="single" w:sz="8" w:space="0" w:color="0076BE" w:themeColor="accent1"/>
          <w:insideH w:val="nil"/>
          <w:insideV w:val="single" w:sz="8" w:space="0" w:color="0076B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  <w:insideH w:val="nil"/>
          <w:insideV w:val="single" w:sz="8" w:space="0" w:color="0076B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</w:tcPr>
    </w:tblStylePr>
    <w:tblStylePr w:type="band1Vert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</w:tcBorders>
        <w:shd w:val="clear" w:color="auto" w:fill="AFE0FF" w:themeFill="accent1" w:themeFillTint="3F"/>
      </w:tcPr>
    </w:tblStylePr>
    <w:tblStylePr w:type="band1Horz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  <w:insideV w:val="single" w:sz="8" w:space="0" w:color="0076BE" w:themeColor="accent1"/>
        </w:tcBorders>
        <w:shd w:val="clear" w:color="auto" w:fill="EA5329" w:themeFill="accent2"/>
      </w:tcPr>
    </w:tblStylePr>
    <w:tblStylePr w:type="band2Horz">
      <w:tblPr/>
      <w:tcPr>
        <w:tcBorders>
          <w:top w:val="single" w:sz="8" w:space="0" w:color="0076BE" w:themeColor="accent1"/>
          <w:left w:val="single" w:sz="8" w:space="0" w:color="0076BE" w:themeColor="accent1"/>
          <w:bottom w:val="single" w:sz="8" w:space="0" w:color="0076BE" w:themeColor="accent1"/>
          <w:right w:val="single" w:sz="8" w:space="0" w:color="0076BE" w:themeColor="accent1"/>
          <w:insideV w:val="single" w:sz="8" w:space="0" w:color="0076BE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0FA3FF" w:themeColor="accent1" w:themeTint="BF"/>
        <w:left w:val="single" w:sz="8" w:space="0" w:color="0FA3FF" w:themeColor="accent1" w:themeTint="BF"/>
        <w:bottom w:val="single" w:sz="8" w:space="0" w:color="0FA3FF" w:themeColor="accent1" w:themeTint="BF"/>
        <w:right w:val="single" w:sz="8" w:space="0" w:color="0FA3FF" w:themeColor="accent1" w:themeTint="BF"/>
        <w:insideH w:val="single" w:sz="8" w:space="0" w:color="0FA3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A3FF" w:themeColor="accent1" w:themeTint="BF"/>
          <w:left w:val="single" w:sz="8" w:space="0" w:color="0FA3FF" w:themeColor="accent1" w:themeTint="BF"/>
          <w:bottom w:val="single" w:sz="8" w:space="0" w:color="0FA3FF" w:themeColor="accent1" w:themeTint="BF"/>
          <w:right w:val="single" w:sz="8" w:space="0" w:color="0FA3FF" w:themeColor="accent1" w:themeTint="BF"/>
          <w:insideH w:val="nil"/>
          <w:insideV w:val="nil"/>
        </w:tcBorders>
        <w:shd w:val="clear" w:color="auto" w:fill="0076B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A3FF" w:themeColor="accent1" w:themeTint="BF"/>
          <w:left w:val="single" w:sz="8" w:space="0" w:color="0FA3FF" w:themeColor="accent1" w:themeTint="BF"/>
          <w:bottom w:val="single" w:sz="8" w:space="0" w:color="0FA3FF" w:themeColor="accent1" w:themeTint="BF"/>
          <w:right w:val="single" w:sz="8" w:space="0" w:color="0FA3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0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E0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0FA3FF" w:themeColor="accent1" w:themeTint="BF"/>
          <w:left w:val="single" w:sz="8" w:space="0" w:color="0FA3FF" w:themeColor="accent1" w:themeTint="BF"/>
          <w:bottom w:val="single" w:sz="8" w:space="0" w:color="0FA3FF" w:themeColor="accent1" w:themeTint="BF"/>
          <w:right w:val="single" w:sz="8" w:space="0" w:color="0FA3FF" w:themeColor="accent1" w:themeTint="BF"/>
          <w:insideH w:val="nil"/>
          <w:insideV w:val="nil"/>
        </w:tcBorders>
        <w:shd w:val="clear" w:color="auto" w:fill="0076B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A3FF" w:themeColor="accent1" w:themeTint="BF"/>
          <w:left w:val="single" w:sz="8" w:space="0" w:color="0FA3FF" w:themeColor="accent1" w:themeTint="BF"/>
          <w:bottom w:val="single" w:sz="8" w:space="0" w:color="0FA3FF" w:themeColor="accent1" w:themeTint="BF"/>
          <w:right w:val="single" w:sz="8" w:space="0" w:color="0FA3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0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EA5329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6BE" w:themeColor="accent1"/>
        <w:bottom w:val="single" w:sz="8" w:space="0" w:color="0076B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6BE" w:themeColor="accent1"/>
        </w:tcBorders>
      </w:tcPr>
    </w:tblStylePr>
    <w:tblStylePr w:type="lastRow">
      <w:rPr>
        <w:b/>
        <w:bCs/>
        <w:color w:val="58595B" w:themeColor="text2"/>
      </w:rPr>
      <w:tblPr/>
      <w:tcPr>
        <w:tcBorders>
          <w:top w:val="single" w:sz="8" w:space="0" w:color="0076BE" w:themeColor="accent1"/>
          <w:bottom w:val="single" w:sz="8" w:space="0" w:color="0076B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6BE" w:themeColor="accent1"/>
          <w:bottom w:val="single" w:sz="8" w:space="0" w:color="0076BE" w:themeColor="accent1"/>
        </w:tcBorders>
      </w:tcPr>
    </w:tblStylePr>
    <w:tblStylePr w:type="band1Vert">
      <w:tblPr/>
      <w:tcPr>
        <w:shd w:val="clear" w:color="auto" w:fill="AFE0FF" w:themeFill="accent1" w:themeFillTint="3F"/>
      </w:tcPr>
    </w:tblStylePr>
    <w:tblStylePr w:type="band1Horz">
      <w:tblPr/>
      <w:tcPr>
        <w:shd w:val="clear" w:color="auto" w:fill="AFE0FF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0076BE" w:themeColor="accent1"/>
        </w:tcBorders>
      </w:tcPr>
    </w:tblStylePr>
    <w:tblStylePr w:type="lastRow">
      <w:rPr>
        <w:b/>
        <w:bCs/>
        <w:color w:val="58595B" w:themeColor="text2"/>
      </w:rPr>
      <w:tblPr/>
      <w:tcPr>
        <w:tcBorders>
          <w:top w:val="single" w:sz="8" w:space="0" w:color="0076BE" w:themeColor="accent1"/>
          <w:bottom w:val="single" w:sz="8" w:space="0" w:color="0076B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6BE" w:themeColor="accent1"/>
          <w:bottom w:val="single" w:sz="8" w:space="0" w:color="0076BE" w:themeColor="accent1"/>
        </w:tcBorders>
      </w:tcPr>
    </w:tblStylePr>
    <w:tblStylePr w:type="band1Vert">
      <w:tblPr/>
      <w:tcPr>
        <w:shd w:val="clear" w:color="auto" w:fill="AFE0FF" w:themeFill="accent1" w:themeFillTint="3F"/>
      </w:tcPr>
    </w:tblStylePr>
    <w:tblStylePr w:type="band1Horz">
      <w:tblPr/>
      <w:tcPr>
        <w:shd w:val="clear" w:color="auto" w:fill="EA5329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val="en-US"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val="en-US"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0076B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6B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6B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6B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E0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5329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6BE" w:themeColor="accent1"/>
        <w:left w:val="single" w:sz="8" w:space="0" w:color="0076BE" w:themeColor="accent1"/>
        <w:bottom w:val="single" w:sz="8" w:space="0" w:color="0076BE" w:themeColor="accent1"/>
        <w:right w:val="single" w:sz="8" w:space="0" w:color="0076B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6B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6B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6B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6B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E0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FE0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eastAsia="Calibri" w:hAnsi="ArialMTStd" w:cs="ArialMTStd"/>
      <w:color w:val="000000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882643"/>
    <w:rPr>
      <w:color w:val="808080"/>
    </w:rPr>
  </w:style>
  <w:style w:type="paragraph" w:customStyle="1" w:styleId="NoParagraphStyle">
    <w:name w:val="[No Paragraph Style]"/>
    <w:rsid w:val="00F568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1EA5"/>
    <w:pPr>
      <w:numPr>
        <w:ilvl w:val="1"/>
      </w:numPr>
    </w:pPr>
    <w:rPr>
      <w:rFonts w:asciiTheme="majorHAnsi" w:eastAsiaTheme="majorEastAsia" w:hAnsiTheme="majorHAnsi" w:cstheme="majorBidi"/>
      <w:i/>
      <w:iCs/>
      <w:color w:val="0076BE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E1EA5"/>
    <w:rPr>
      <w:rFonts w:asciiTheme="majorHAnsi" w:eastAsiaTheme="majorEastAsia" w:hAnsiTheme="majorHAnsi" w:cstheme="majorBidi"/>
      <w:i/>
      <w:iCs/>
      <w:color w:val="0076BE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566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rst1000days@health.wa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cahs.health.wa.gov.au/Our-services/First-1000-Days-Framewo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Perth Childrens Hospital">
      <a:dk1>
        <a:sysClr val="windowText" lastClr="000000"/>
      </a:dk1>
      <a:lt1>
        <a:sysClr val="window" lastClr="FFFFFF"/>
      </a:lt1>
      <a:dk2>
        <a:srgbClr val="58595B"/>
      </a:dk2>
      <a:lt2>
        <a:srgbClr val="FFFFFF"/>
      </a:lt2>
      <a:accent1>
        <a:srgbClr val="0076BE"/>
      </a:accent1>
      <a:accent2>
        <a:srgbClr val="EA5329"/>
      </a:accent2>
      <a:accent3>
        <a:srgbClr val="23AE49"/>
      </a:accent3>
      <a:accent4>
        <a:srgbClr val="8D54A2"/>
      </a:accent4>
      <a:accent5>
        <a:srgbClr val="F7921E"/>
      </a:accent5>
      <a:accent6>
        <a:srgbClr val="58595B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E5235-BA87-46CD-ACB0-1FF680B5D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Template</vt:lpstr>
    </vt:vector>
  </TitlesOfParts>
  <Company>WA Health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Department of Health's flyer templates for consumers</dc:description>
  <cp:lastModifiedBy>Mazur, Olivia</cp:lastModifiedBy>
  <cp:revision>3</cp:revision>
  <cp:lastPrinted>2016-12-15T04:35:00Z</cp:lastPrinted>
  <dcterms:created xsi:type="dcterms:W3CDTF">2022-03-09T07:44:00Z</dcterms:created>
  <dcterms:modified xsi:type="dcterms:W3CDTF">2025-01-03T06:27:00Z</dcterms:modified>
</cp:coreProperties>
</file>